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E6" w:rsidRPr="00A2072F" w:rsidRDefault="004172E6" w:rsidP="00A2072F">
      <w:pPr>
        <w:autoSpaceDE w:val="0"/>
        <w:autoSpaceDN w:val="0"/>
        <w:adjustRightInd w:val="0"/>
        <w:spacing w:line="240" w:lineRule="auto"/>
        <w:ind w:firstLine="3"/>
        <w:jc w:val="both"/>
        <w:rPr>
          <w:rFonts w:ascii="Verdana" w:hAnsi="Verdana" w:cs="Arial"/>
          <w:color w:val="4C4E53"/>
          <w:sz w:val="20"/>
          <w:szCs w:val="20"/>
        </w:rPr>
      </w:pPr>
    </w:p>
    <w:p w:rsidR="00A2072F" w:rsidRPr="00A2072F" w:rsidRDefault="00A2072F" w:rsidP="00A2072F">
      <w:pPr>
        <w:shd w:val="clear" w:color="auto" w:fill="D51366"/>
        <w:spacing w:line="240" w:lineRule="auto"/>
        <w:ind w:left="57" w:right="57"/>
        <w:jc w:val="both"/>
        <w:rPr>
          <w:rFonts w:ascii="Verdana" w:hAnsi="Verdana"/>
          <w:b/>
          <w:color w:val="4C4E53"/>
          <w:sz w:val="20"/>
          <w:szCs w:val="20"/>
        </w:rPr>
      </w:pPr>
      <w:bookmarkStart w:id="0" w:name="_GoBack"/>
      <w:bookmarkEnd w:id="0"/>
    </w:p>
    <w:p w:rsidR="00A2072F" w:rsidRPr="00A2072F" w:rsidRDefault="00A2072F" w:rsidP="00A2072F">
      <w:pPr>
        <w:shd w:val="clear" w:color="auto" w:fill="D51366"/>
        <w:spacing w:line="240" w:lineRule="auto"/>
        <w:ind w:left="57" w:right="57"/>
        <w:rPr>
          <w:rFonts w:ascii="Verdana" w:hAnsi="Verdana"/>
          <w:b/>
          <w:color w:val="FFFFFF" w:themeColor="background1"/>
          <w:sz w:val="20"/>
          <w:szCs w:val="20"/>
        </w:rPr>
      </w:pPr>
      <w:r w:rsidRPr="00A2072F">
        <w:rPr>
          <w:rFonts w:ascii="Verdana" w:hAnsi="Verdana"/>
          <w:b/>
          <w:color w:val="FFFFFF" w:themeColor="background1"/>
          <w:sz w:val="20"/>
          <w:szCs w:val="20"/>
        </w:rPr>
        <w:t>Assemblée générale mixte du 25 juin 2014</w:t>
      </w:r>
    </w:p>
    <w:p w:rsidR="00A2072F" w:rsidRPr="00A2072F" w:rsidRDefault="00A2072F" w:rsidP="00A2072F">
      <w:pPr>
        <w:shd w:val="clear" w:color="auto" w:fill="D51366"/>
        <w:spacing w:line="240" w:lineRule="auto"/>
        <w:ind w:left="57" w:right="57"/>
        <w:rPr>
          <w:rFonts w:ascii="Verdana" w:hAnsi="Verdana"/>
          <w:b/>
          <w:color w:val="FFFFFF" w:themeColor="background1"/>
          <w:sz w:val="20"/>
          <w:szCs w:val="20"/>
        </w:rPr>
      </w:pPr>
    </w:p>
    <w:p w:rsidR="005F6674" w:rsidRPr="00A2072F" w:rsidRDefault="00D65BE0" w:rsidP="00A2072F">
      <w:pPr>
        <w:shd w:val="clear" w:color="auto" w:fill="D51366"/>
        <w:spacing w:line="240" w:lineRule="auto"/>
        <w:ind w:left="57" w:right="57"/>
        <w:rPr>
          <w:rFonts w:ascii="Verdana" w:hAnsi="Verdana"/>
          <w:b/>
          <w:color w:val="FFFFFF" w:themeColor="background1"/>
          <w:sz w:val="20"/>
          <w:szCs w:val="20"/>
        </w:rPr>
      </w:pPr>
      <w:r>
        <w:rPr>
          <w:rFonts w:ascii="Verdana" w:hAnsi="Verdana"/>
          <w:b/>
          <w:color w:val="FFFFFF" w:themeColor="background1"/>
          <w:sz w:val="20"/>
          <w:szCs w:val="20"/>
        </w:rPr>
        <w:t>Liste des d</w:t>
      </w:r>
      <w:r w:rsidR="005F1203">
        <w:rPr>
          <w:rFonts w:ascii="Verdana" w:hAnsi="Verdana"/>
          <w:b/>
          <w:color w:val="FFFFFF" w:themeColor="background1"/>
          <w:sz w:val="20"/>
          <w:szCs w:val="20"/>
        </w:rPr>
        <w:t xml:space="preserve">ocuments </w:t>
      </w:r>
      <w:r w:rsidR="0075131C">
        <w:rPr>
          <w:rFonts w:ascii="Verdana" w:hAnsi="Verdana"/>
          <w:b/>
          <w:color w:val="FFFFFF" w:themeColor="background1"/>
          <w:sz w:val="20"/>
          <w:szCs w:val="20"/>
        </w:rPr>
        <w:t>visés à l'</w:t>
      </w:r>
      <w:r w:rsidR="000C0FDE">
        <w:rPr>
          <w:rFonts w:ascii="Verdana" w:hAnsi="Verdana"/>
          <w:b/>
          <w:color w:val="FFFFFF" w:themeColor="background1"/>
          <w:sz w:val="20"/>
          <w:szCs w:val="20"/>
        </w:rPr>
        <w:t xml:space="preserve">article </w:t>
      </w:r>
      <w:r w:rsidR="0075131C">
        <w:rPr>
          <w:rFonts w:ascii="Verdana" w:hAnsi="Verdana"/>
          <w:b/>
          <w:color w:val="FFFFFF" w:themeColor="background1"/>
          <w:sz w:val="20"/>
          <w:szCs w:val="20"/>
        </w:rPr>
        <w:t>R. 225-73-1 du Code de commerce figurant dans le document de référence 2013</w:t>
      </w:r>
    </w:p>
    <w:p w:rsidR="00A2072F" w:rsidRPr="00A2072F" w:rsidRDefault="00A2072F" w:rsidP="00A2072F">
      <w:pPr>
        <w:shd w:val="clear" w:color="auto" w:fill="D51366"/>
        <w:spacing w:line="240" w:lineRule="auto"/>
        <w:ind w:left="57" w:right="57"/>
        <w:jc w:val="both"/>
        <w:rPr>
          <w:rFonts w:ascii="Verdana" w:hAnsi="Verdana"/>
          <w:b/>
          <w:color w:val="FFFFFF" w:themeColor="background1"/>
          <w:sz w:val="20"/>
          <w:szCs w:val="20"/>
        </w:rPr>
      </w:pPr>
    </w:p>
    <w:p w:rsidR="00A2072F" w:rsidRPr="00680167" w:rsidRDefault="00A2072F" w:rsidP="00A2072F">
      <w:pPr>
        <w:spacing w:line="240" w:lineRule="auto"/>
        <w:ind w:left="57" w:right="57"/>
        <w:jc w:val="both"/>
        <w:rPr>
          <w:rFonts w:ascii="Verdana" w:hAnsi="Verdana"/>
          <w:color w:val="4C4E53"/>
          <w:sz w:val="20"/>
          <w:szCs w:val="20"/>
        </w:rPr>
      </w:pPr>
    </w:p>
    <w:p w:rsidR="00A2072F" w:rsidRPr="00680167" w:rsidRDefault="00A2072F" w:rsidP="00A2072F">
      <w:pPr>
        <w:spacing w:line="240" w:lineRule="auto"/>
        <w:jc w:val="both"/>
        <w:rPr>
          <w:rFonts w:ascii="Verdana" w:hAnsi="Verdana"/>
          <w:color w:val="4C4E53"/>
          <w:sz w:val="20"/>
          <w:szCs w:val="20"/>
        </w:rPr>
      </w:pPr>
    </w:p>
    <w:p w:rsidR="00A2072F" w:rsidRDefault="00A2072F" w:rsidP="005F1203">
      <w:pPr>
        <w:spacing w:line="240" w:lineRule="auto"/>
        <w:jc w:val="both"/>
        <w:rPr>
          <w:rFonts w:ascii="Verdana" w:hAnsi="Verdana"/>
          <w:color w:val="4C4E53"/>
          <w:sz w:val="20"/>
          <w:szCs w:val="20"/>
        </w:rPr>
      </w:pPr>
    </w:p>
    <w:p w:rsidR="0075131C" w:rsidRPr="005F1203" w:rsidRDefault="0075131C" w:rsidP="005F1203">
      <w:pPr>
        <w:spacing w:line="240" w:lineRule="auto"/>
        <w:jc w:val="both"/>
        <w:rPr>
          <w:rFonts w:ascii="Verdana" w:hAnsi="Verdana"/>
          <w:color w:val="4C4E53"/>
          <w:sz w:val="20"/>
          <w:szCs w:val="20"/>
        </w:rPr>
      </w:pPr>
      <w:r>
        <w:rPr>
          <w:rFonts w:ascii="Verdana" w:hAnsi="Verdana"/>
          <w:color w:val="4C4E53"/>
          <w:sz w:val="20"/>
          <w:szCs w:val="20"/>
        </w:rPr>
        <w:t>Les documents suivants figurent dans le livre II du document de référence et rapport financier annuel 2013 disponible dans la rubrique "Relations investisseurs" :</w:t>
      </w:r>
    </w:p>
    <w:p w:rsidR="0075131C" w:rsidRDefault="0075131C" w:rsidP="005F1203">
      <w:pPr>
        <w:spacing w:line="240" w:lineRule="auto"/>
        <w:ind w:left="540" w:hanging="540"/>
        <w:jc w:val="both"/>
        <w:rPr>
          <w:rFonts w:ascii="Verdana" w:hAnsi="Verdana"/>
          <w:color w:val="4C4E53"/>
          <w:sz w:val="20"/>
          <w:szCs w:val="20"/>
        </w:rPr>
      </w:pPr>
    </w:p>
    <w:tbl>
      <w:tblPr>
        <w:tblStyle w:val="Grilledutableau"/>
        <w:tblW w:w="0" w:type="auto"/>
        <w:tblInd w:w="108" w:type="dxa"/>
        <w:tblBorders>
          <w:top w:val="single" w:sz="4" w:space="0" w:color="4C4E53"/>
          <w:left w:val="single" w:sz="4" w:space="0" w:color="4C4E53"/>
          <w:bottom w:val="single" w:sz="4" w:space="0" w:color="4C4E53"/>
          <w:right w:val="single" w:sz="4" w:space="0" w:color="4C4E53"/>
          <w:insideH w:val="single" w:sz="4" w:space="0" w:color="4C4E53"/>
          <w:insideV w:val="single" w:sz="4" w:space="0" w:color="4C4E53"/>
        </w:tblBorders>
        <w:tblLook w:val="04A0"/>
      </w:tblPr>
      <w:tblGrid>
        <w:gridCol w:w="6946"/>
        <w:gridCol w:w="2126"/>
      </w:tblGrid>
      <w:tr w:rsidR="00896AB3" w:rsidRPr="00896AB3" w:rsidTr="00691990">
        <w:tc>
          <w:tcPr>
            <w:tcW w:w="6946" w:type="dxa"/>
          </w:tcPr>
          <w:p w:rsidR="00896AB3" w:rsidRPr="00896AB3" w:rsidRDefault="00896AB3" w:rsidP="00691990">
            <w:pPr>
              <w:spacing w:before="60" w:after="60"/>
              <w:jc w:val="left"/>
              <w:rPr>
                <w:rFonts w:ascii="Verdana" w:hAnsi="Verdana"/>
                <w:b/>
                <w:color w:val="D51366"/>
                <w:sz w:val="18"/>
                <w:szCs w:val="18"/>
              </w:rPr>
            </w:pPr>
            <w:r w:rsidRPr="00896AB3">
              <w:rPr>
                <w:rFonts w:ascii="Verdana" w:hAnsi="Verdana"/>
                <w:b/>
                <w:color w:val="D51366"/>
                <w:sz w:val="18"/>
                <w:szCs w:val="18"/>
              </w:rPr>
              <w:t>Document</w:t>
            </w:r>
          </w:p>
        </w:tc>
        <w:tc>
          <w:tcPr>
            <w:tcW w:w="2126" w:type="dxa"/>
            <w:vAlign w:val="center"/>
          </w:tcPr>
          <w:p w:rsidR="00896AB3" w:rsidRPr="00896AB3" w:rsidRDefault="00896AB3" w:rsidP="00691990">
            <w:pPr>
              <w:spacing w:before="60" w:after="60"/>
              <w:jc w:val="right"/>
              <w:rPr>
                <w:rFonts w:ascii="Verdana" w:hAnsi="Verdana"/>
                <w:b/>
                <w:color w:val="D51366"/>
                <w:sz w:val="18"/>
                <w:szCs w:val="18"/>
              </w:rPr>
            </w:pPr>
            <w:r w:rsidRPr="00896AB3">
              <w:rPr>
                <w:rFonts w:ascii="Verdana" w:hAnsi="Verdana"/>
                <w:b/>
                <w:color w:val="D51366"/>
                <w:sz w:val="18"/>
                <w:szCs w:val="18"/>
              </w:rPr>
              <w:t>Page du livre II</w:t>
            </w:r>
          </w:p>
        </w:tc>
      </w:tr>
      <w:tr w:rsidR="00896AB3" w:rsidTr="00691990">
        <w:tc>
          <w:tcPr>
            <w:tcW w:w="6946" w:type="dxa"/>
          </w:tcPr>
          <w:p w:rsidR="00896AB3" w:rsidRPr="00896AB3" w:rsidRDefault="00691990" w:rsidP="00691990">
            <w:pPr>
              <w:spacing w:before="60" w:after="60"/>
              <w:jc w:val="left"/>
              <w:rPr>
                <w:rFonts w:ascii="Verdana" w:hAnsi="Verdana"/>
                <w:color w:val="4C4E53"/>
                <w:sz w:val="18"/>
                <w:szCs w:val="18"/>
              </w:rPr>
            </w:pPr>
            <w:r>
              <w:rPr>
                <w:rFonts w:ascii="Verdana" w:hAnsi="Verdana"/>
                <w:color w:val="4C4E53"/>
                <w:sz w:val="18"/>
                <w:szCs w:val="18"/>
              </w:rPr>
              <w:t>R</w:t>
            </w:r>
            <w:r w:rsidR="00896AB3" w:rsidRPr="00896AB3">
              <w:rPr>
                <w:rFonts w:ascii="Verdana" w:hAnsi="Verdana"/>
                <w:color w:val="4C4E53"/>
                <w:sz w:val="18"/>
                <w:szCs w:val="18"/>
              </w:rPr>
              <w:t>apport de gestion du conseil d’administration</w:t>
            </w:r>
          </w:p>
        </w:tc>
        <w:tc>
          <w:tcPr>
            <w:tcW w:w="2126" w:type="dxa"/>
            <w:vAlign w:val="center"/>
          </w:tcPr>
          <w:p w:rsidR="00896AB3" w:rsidRPr="00896AB3" w:rsidRDefault="00691990" w:rsidP="00691990">
            <w:pPr>
              <w:spacing w:before="60" w:after="60"/>
              <w:jc w:val="right"/>
              <w:rPr>
                <w:rFonts w:ascii="Verdana" w:hAnsi="Verdana"/>
                <w:color w:val="4C4E53"/>
                <w:sz w:val="18"/>
                <w:szCs w:val="18"/>
              </w:rPr>
            </w:pPr>
            <w:r>
              <w:rPr>
                <w:rFonts w:ascii="Verdana" w:hAnsi="Verdana"/>
                <w:color w:val="4C4E53"/>
                <w:sz w:val="18"/>
                <w:szCs w:val="18"/>
              </w:rPr>
              <w:t>12 à 142</w:t>
            </w:r>
          </w:p>
        </w:tc>
      </w:tr>
      <w:tr w:rsidR="00896AB3" w:rsidTr="00691990">
        <w:tc>
          <w:tcPr>
            <w:tcW w:w="6946" w:type="dxa"/>
          </w:tcPr>
          <w:p w:rsidR="00896AB3" w:rsidRPr="00896AB3" w:rsidRDefault="00691990" w:rsidP="00691990">
            <w:pPr>
              <w:spacing w:before="60" w:after="60"/>
              <w:jc w:val="left"/>
              <w:rPr>
                <w:rFonts w:ascii="Verdana" w:hAnsi="Verdana"/>
                <w:color w:val="4C4E53"/>
                <w:sz w:val="18"/>
                <w:szCs w:val="18"/>
              </w:rPr>
            </w:pPr>
            <w:r>
              <w:rPr>
                <w:rFonts w:ascii="Verdana" w:hAnsi="Verdana"/>
                <w:color w:val="4C4E53"/>
                <w:sz w:val="18"/>
                <w:szCs w:val="18"/>
              </w:rPr>
              <w:t>C</w:t>
            </w:r>
            <w:r w:rsidR="00896AB3" w:rsidRPr="00896AB3">
              <w:rPr>
                <w:rFonts w:ascii="Verdana" w:hAnsi="Verdana"/>
                <w:color w:val="4C4E53"/>
                <w:sz w:val="18"/>
                <w:szCs w:val="18"/>
              </w:rPr>
              <w:t xml:space="preserve">omptes annuels de la Société au 31 décembre 2013 </w:t>
            </w:r>
          </w:p>
          <w:p w:rsidR="00896AB3" w:rsidRPr="00896AB3" w:rsidRDefault="00896AB3" w:rsidP="00691990">
            <w:pPr>
              <w:spacing w:before="60" w:after="60"/>
              <w:jc w:val="left"/>
              <w:rPr>
                <w:rFonts w:ascii="Verdana" w:hAnsi="Verdana"/>
                <w:color w:val="4C4E53"/>
                <w:sz w:val="18"/>
                <w:szCs w:val="18"/>
              </w:rPr>
            </w:pPr>
          </w:p>
        </w:tc>
        <w:tc>
          <w:tcPr>
            <w:tcW w:w="2126" w:type="dxa"/>
            <w:vAlign w:val="center"/>
          </w:tcPr>
          <w:p w:rsidR="00896AB3" w:rsidRPr="00896AB3" w:rsidRDefault="00691990" w:rsidP="00691990">
            <w:pPr>
              <w:spacing w:before="60" w:after="60"/>
              <w:jc w:val="right"/>
              <w:rPr>
                <w:rFonts w:ascii="Verdana" w:hAnsi="Verdana"/>
                <w:color w:val="4C4E53"/>
                <w:sz w:val="18"/>
                <w:szCs w:val="18"/>
              </w:rPr>
            </w:pPr>
            <w:r>
              <w:rPr>
                <w:rFonts w:ascii="Verdana" w:hAnsi="Verdana"/>
                <w:color w:val="4C4E53"/>
                <w:sz w:val="18"/>
                <w:szCs w:val="18"/>
              </w:rPr>
              <w:t>226 à 248</w:t>
            </w:r>
          </w:p>
        </w:tc>
      </w:tr>
      <w:tr w:rsidR="00896AB3" w:rsidTr="00691990">
        <w:tc>
          <w:tcPr>
            <w:tcW w:w="6946" w:type="dxa"/>
          </w:tcPr>
          <w:p w:rsidR="00896AB3" w:rsidRPr="00896AB3" w:rsidRDefault="00691990" w:rsidP="00691990">
            <w:pPr>
              <w:spacing w:before="60" w:after="60"/>
              <w:jc w:val="left"/>
              <w:rPr>
                <w:rFonts w:ascii="Verdana" w:hAnsi="Verdana"/>
                <w:color w:val="4C4E53"/>
                <w:sz w:val="18"/>
                <w:szCs w:val="18"/>
              </w:rPr>
            </w:pPr>
            <w:r>
              <w:rPr>
                <w:rFonts w:ascii="Verdana" w:hAnsi="Verdana"/>
                <w:color w:val="4C4E53"/>
                <w:sz w:val="18"/>
                <w:szCs w:val="18"/>
              </w:rPr>
              <w:t>R</w:t>
            </w:r>
            <w:r w:rsidR="00896AB3" w:rsidRPr="00896AB3">
              <w:rPr>
                <w:rFonts w:ascii="Verdana" w:hAnsi="Verdana"/>
                <w:color w:val="4C4E53"/>
                <w:sz w:val="18"/>
                <w:szCs w:val="18"/>
              </w:rPr>
              <w:t>apport des commissaires aux comptes sur les comptes annuels de la Société au 31 décembre 2013</w:t>
            </w:r>
          </w:p>
        </w:tc>
        <w:tc>
          <w:tcPr>
            <w:tcW w:w="2126" w:type="dxa"/>
            <w:vAlign w:val="center"/>
          </w:tcPr>
          <w:p w:rsidR="00896AB3" w:rsidRPr="00896AB3" w:rsidRDefault="00691990" w:rsidP="00691990">
            <w:pPr>
              <w:spacing w:before="60" w:after="60"/>
              <w:jc w:val="right"/>
              <w:rPr>
                <w:rFonts w:ascii="Verdana" w:hAnsi="Verdana"/>
                <w:color w:val="4C4E53"/>
                <w:sz w:val="18"/>
                <w:szCs w:val="18"/>
              </w:rPr>
            </w:pPr>
            <w:r>
              <w:rPr>
                <w:rFonts w:ascii="Verdana" w:hAnsi="Verdana"/>
                <w:color w:val="4C4E53"/>
                <w:sz w:val="18"/>
                <w:szCs w:val="18"/>
              </w:rPr>
              <w:t>249 à 250</w:t>
            </w:r>
          </w:p>
        </w:tc>
      </w:tr>
      <w:tr w:rsidR="00896AB3" w:rsidTr="00691990">
        <w:tc>
          <w:tcPr>
            <w:tcW w:w="6946" w:type="dxa"/>
          </w:tcPr>
          <w:p w:rsidR="00896AB3" w:rsidRPr="00896AB3" w:rsidRDefault="00691990" w:rsidP="00691990">
            <w:pPr>
              <w:spacing w:before="60" w:after="60"/>
              <w:jc w:val="left"/>
              <w:rPr>
                <w:rFonts w:ascii="Verdana" w:hAnsi="Verdana"/>
                <w:color w:val="4C4E53"/>
                <w:sz w:val="18"/>
                <w:szCs w:val="18"/>
              </w:rPr>
            </w:pPr>
            <w:r>
              <w:rPr>
                <w:rFonts w:ascii="Verdana" w:hAnsi="Verdana"/>
                <w:color w:val="4C4E53"/>
                <w:sz w:val="18"/>
                <w:szCs w:val="18"/>
              </w:rPr>
              <w:t>C</w:t>
            </w:r>
            <w:r w:rsidR="00896AB3" w:rsidRPr="00896AB3">
              <w:rPr>
                <w:rFonts w:ascii="Verdana" w:hAnsi="Verdana"/>
                <w:color w:val="4C4E53"/>
                <w:sz w:val="18"/>
                <w:szCs w:val="18"/>
              </w:rPr>
              <w:t xml:space="preserve">omptes consolidés de la Société au 31 décembre 2013 </w:t>
            </w:r>
          </w:p>
        </w:tc>
        <w:tc>
          <w:tcPr>
            <w:tcW w:w="2126" w:type="dxa"/>
            <w:vAlign w:val="center"/>
          </w:tcPr>
          <w:p w:rsidR="00896AB3" w:rsidRPr="00896AB3" w:rsidRDefault="00691990" w:rsidP="00691990">
            <w:pPr>
              <w:spacing w:before="60" w:after="60"/>
              <w:jc w:val="right"/>
              <w:rPr>
                <w:rFonts w:ascii="Verdana" w:hAnsi="Verdana"/>
                <w:color w:val="4C4E53"/>
                <w:sz w:val="18"/>
                <w:szCs w:val="18"/>
              </w:rPr>
            </w:pPr>
            <w:r>
              <w:rPr>
                <w:rFonts w:ascii="Verdana" w:hAnsi="Verdana"/>
                <w:color w:val="4C4E53"/>
                <w:sz w:val="18"/>
                <w:szCs w:val="18"/>
              </w:rPr>
              <w:t>168 à 221</w:t>
            </w:r>
          </w:p>
        </w:tc>
      </w:tr>
      <w:tr w:rsidR="00896AB3" w:rsidTr="00691990">
        <w:tc>
          <w:tcPr>
            <w:tcW w:w="6946" w:type="dxa"/>
          </w:tcPr>
          <w:p w:rsidR="00896AB3" w:rsidRPr="00896AB3" w:rsidRDefault="00691990" w:rsidP="00691990">
            <w:pPr>
              <w:spacing w:before="60" w:after="60"/>
              <w:jc w:val="left"/>
              <w:rPr>
                <w:rFonts w:ascii="Verdana" w:hAnsi="Verdana"/>
                <w:color w:val="4C4E53"/>
                <w:sz w:val="18"/>
                <w:szCs w:val="18"/>
              </w:rPr>
            </w:pPr>
            <w:r>
              <w:rPr>
                <w:rFonts w:ascii="Verdana" w:hAnsi="Verdana"/>
                <w:color w:val="4C4E53"/>
                <w:sz w:val="18"/>
                <w:szCs w:val="18"/>
              </w:rPr>
              <w:t>R</w:t>
            </w:r>
            <w:r w:rsidR="00896AB3" w:rsidRPr="00896AB3">
              <w:rPr>
                <w:rFonts w:ascii="Verdana" w:hAnsi="Verdana"/>
                <w:color w:val="4C4E53"/>
                <w:sz w:val="18"/>
                <w:szCs w:val="18"/>
              </w:rPr>
              <w:t>apport des commissaires aux comptes sur les comptes consolidés de la Société au 31 décembre 2013</w:t>
            </w:r>
          </w:p>
        </w:tc>
        <w:tc>
          <w:tcPr>
            <w:tcW w:w="2126" w:type="dxa"/>
            <w:vAlign w:val="center"/>
          </w:tcPr>
          <w:p w:rsidR="00896AB3" w:rsidRPr="00896AB3" w:rsidRDefault="00691990" w:rsidP="00691990">
            <w:pPr>
              <w:spacing w:before="60" w:after="60"/>
              <w:jc w:val="right"/>
              <w:rPr>
                <w:rFonts w:ascii="Verdana" w:hAnsi="Verdana"/>
                <w:color w:val="4C4E53"/>
                <w:sz w:val="18"/>
                <w:szCs w:val="18"/>
              </w:rPr>
            </w:pPr>
            <w:r>
              <w:rPr>
                <w:rFonts w:ascii="Verdana" w:hAnsi="Verdana"/>
                <w:color w:val="4C4E53"/>
                <w:sz w:val="18"/>
                <w:szCs w:val="18"/>
              </w:rPr>
              <w:t>222 à 223</w:t>
            </w:r>
          </w:p>
        </w:tc>
      </w:tr>
      <w:tr w:rsidR="00896AB3" w:rsidTr="00691990">
        <w:tc>
          <w:tcPr>
            <w:tcW w:w="6946" w:type="dxa"/>
          </w:tcPr>
          <w:p w:rsidR="00896AB3" w:rsidRPr="00896AB3" w:rsidRDefault="00691990" w:rsidP="00691990">
            <w:pPr>
              <w:spacing w:before="60" w:after="60"/>
              <w:jc w:val="left"/>
              <w:rPr>
                <w:rFonts w:ascii="Verdana" w:hAnsi="Verdana"/>
                <w:color w:val="4C4E53"/>
                <w:sz w:val="18"/>
                <w:szCs w:val="18"/>
              </w:rPr>
            </w:pPr>
            <w:r>
              <w:rPr>
                <w:rFonts w:ascii="Verdana" w:hAnsi="Verdana"/>
                <w:color w:val="4C4E53"/>
                <w:sz w:val="18"/>
                <w:szCs w:val="18"/>
              </w:rPr>
              <w:t>T</w:t>
            </w:r>
            <w:r w:rsidR="00896AB3" w:rsidRPr="00896AB3">
              <w:rPr>
                <w:rFonts w:ascii="Verdana" w:hAnsi="Verdana"/>
                <w:color w:val="4C4E53"/>
                <w:sz w:val="18"/>
                <w:szCs w:val="18"/>
              </w:rPr>
              <w:t>ableau de résul</w:t>
            </w:r>
            <w:r>
              <w:rPr>
                <w:rFonts w:ascii="Verdana" w:hAnsi="Verdana"/>
                <w:color w:val="4C4E53"/>
                <w:sz w:val="18"/>
                <w:szCs w:val="18"/>
              </w:rPr>
              <w:t>tat des cinq derniers exercices</w:t>
            </w:r>
          </w:p>
        </w:tc>
        <w:tc>
          <w:tcPr>
            <w:tcW w:w="2126" w:type="dxa"/>
            <w:vAlign w:val="center"/>
          </w:tcPr>
          <w:p w:rsidR="00896AB3" w:rsidRPr="00896AB3" w:rsidRDefault="00691990" w:rsidP="00691990">
            <w:pPr>
              <w:spacing w:before="60" w:after="60"/>
              <w:jc w:val="right"/>
              <w:rPr>
                <w:rFonts w:ascii="Verdana" w:hAnsi="Verdana"/>
                <w:color w:val="4C4E53"/>
                <w:sz w:val="18"/>
                <w:szCs w:val="18"/>
              </w:rPr>
            </w:pPr>
            <w:r>
              <w:rPr>
                <w:rFonts w:ascii="Verdana" w:hAnsi="Verdana"/>
                <w:color w:val="4C4E53"/>
                <w:sz w:val="18"/>
                <w:szCs w:val="18"/>
              </w:rPr>
              <w:t>94</w:t>
            </w:r>
          </w:p>
        </w:tc>
      </w:tr>
      <w:tr w:rsidR="00896AB3" w:rsidTr="00691990">
        <w:tc>
          <w:tcPr>
            <w:tcW w:w="6946" w:type="dxa"/>
          </w:tcPr>
          <w:p w:rsidR="00896AB3" w:rsidRPr="00896AB3" w:rsidRDefault="00691990" w:rsidP="00691990">
            <w:pPr>
              <w:spacing w:before="60" w:after="60"/>
              <w:jc w:val="left"/>
              <w:rPr>
                <w:rFonts w:ascii="Verdana" w:hAnsi="Verdana"/>
                <w:color w:val="4C4E53"/>
                <w:sz w:val="18"/>
                <w:szCs w:val="18"/>
              </w:rPr>
            </w:pPr>
            <w:r>
              <w:rPr>
                <w:rFonts w:ascii="Verdana" w:hAnsi="Verdana"/>
                <w:color w:val="4C4E53"/>
                <w:sz w:val="18"/>
                <w:szCs w:val="18"/>
              </w:rPr>
              <w:t>L</w:t>
            </w:r>
            <w:r w:rsidR="00896AB3" w:rsidRPr="00896AB3">
              <w:rPr>
                <w:rFonts w:ascii="Verdana" w:hAnsi="Verdana"/>
                <w:color w:val="4C4E53"/>
                <w:sz w:val="18"/>
                <w:szCs w:val="18"/>
              </w:rPr>
              <w:t xml:space="preserve">iste des administrateurs et </w:t>
            </w:r>
            <w:r>
              <w:rPr>
                <w:rFonts w:ascii="Verdana" w:hAnsi="Verdana"/>
                <w:color w:val="4C4E53"/>
                <w:sz w:val="18"/>
                <w:szCs w:val="18"/>
              </w:rPr>
              <w:t>informations les concernant</w:t>
            </w:r>
          </w:p>
        </w:tc>
        <w:tc>
          <w:tcPr>
            <w:tcW w:w="2126" w:type="dxa"/>
            <w:vAlign w:val="center"/>
          </w:tcPr>
          <w:p w:rsidR="00896AB3" w:rsidRPr="00896AB3" w:rsidRDefault="00691990" w:rsidP="00691990">
            <w:pPr>
              <w:spacing w:before="60" w:after="60"/>
              <w:jc w:val="right"/>
              <w:rPr>
                <w:rFonts w:ascii="Verdana" w:hAnsi="Verdana"/>
                <w:color w:val="4C4E53"/>
                <w:sz w:val="18"/>
                <w:szCs w:val="18"/>
              </w:rPr>
            </w:pPr>
            <w:r>
              <w:rPr>
                <w:rFonts w:ascii="Verdana" w:hAnsi="Verdana"/>
                <w:color w:val="4C4E53"/>
                <w:sz w:val="18"/>
                <w:szCs w:val="18"/>
              </w:rPr>
              <w:t>48 à 64</w:t>
            </w:r>
          </w:p>
        </w:tc>
      </w:tr>
      <w:tr w:rsidR="00896AB3" w:rsidTr="00691990">
        <w:tc>
          <w:tcPr>
            <w:tcW w:w="6946" w:type="dxa"/>
          </w:tcPr>
          <w:p w:rsidR="00896AB3" w:rsidRPr="00896AB3" w:rsidRDefault="00691990" w:rsidP="00691990">
            <w:pPr>
              <w:spacing w:before="60" w:after="60"/>
              <w:jc w:val="left"/>
              <w:rPr>
                <w:rFonts w:ascii="Verdana" w:hAnsi="Verdana"/>
                <w:color w:val="4C4E53"/>
                <w:sz w:val="18"/>
                <w:szCs w:val="18"/>
              </w:rPr>
            </w:pPr>
            <w:r>
              <w:rPr>
                <w:rFonts w:ascii="Verdana" w:hAnsi="Verdana"/>
                <w:color w:val="4C4E53"/>
                <w:sz w:val="18"/>
                <w:szCs w:val="18"/>
              </w:rPr>
              <w:t>R</w:t>
            </w:r>
            <w:r w:rsidR="00896AB3" w:rsidRPr="00896AB3">
              <w:rPr>
                <w:rFonts w:ascii="Verdana" w:hAnsi="Verdana"/>
                <w:color w:val="4C4E53"/>
                <w:sz w:val="18"/>
                <w:szCs w:val="18"/>
              </w:rPr>
              <w:t xml:space="preserve">apport du président sur le gouvernement d’entreprise et les procédures de contrôle interne et de gestion des risques </w:t>
            </w:r>
          </w:p>
        </w:tc>
        <w:tc>
          <w:tcPr>
            <w:tcW w:w="2126" w:type="dxa"/>
            <w:vAlign w:val="center"/>
          </w:tcPr>
          <w:p w:rsidR="00896AB3" w:rsidRPr="00896AB3" w:rsidRDefault="00691990" w:rsidP="00691990">
            <w:pPr>
              <w:spacing w:before="60" w:after="60"/>
              <w:jc w:val="right"/>
              <w:rPr>
                <w:rFonts w:ascii="Verdana" w:hAnsi="Verdana"/>
                <w:color w:val="4C4E53"/>
                <w:sz w:val="18"/>
                <w:szCs w:val="18"/>
              </w:rPr>
            </w:pPr>
            <w:r>
              <w:rPr>
                <w:rFonts w:ascii="Verdana" w:hAnsi="Verdana"/>
                <w:color w:val="4C4E53"/>
                <w:sz w:val="18"/>
                <w:szCs w:val="18"/>
              </w:rPr>
              <w:t>95 à 113</w:t>
            </w:r>
          </w:p>
        </w:tc>
      </w:tr>
      <w:tr w:rsidR="00896AB3" w:rsidTr="00691990">
        <w:tc>
          <w:tcPr>
            <w:tcW w:w="6946" w:type="dxa"/>
          </w:tcPr>
          <w:p w:rsidR="00896AB3" w:rsidRPr="00896AB3" w:rsidRDefault="00691990" w:rsidP="00691990">
            <w:pPr>
              <w:spacing w:before="60" w:after="60"/>
              <w:jc w:val="left"/>
              <w:rPr>
                <w:rFonts w:ascii="Verdana" w:hAnsi="Verdana"/>
                <w:color w:val="4C4E53"/>
                <w:sz w:val="18"/>
                <w:szCs w:val="18"/>
              </w:rPr>
            </w:pPr>
            <w:r>
              <w:rPr>
                <w:rFonts w:ascii="Verdana" w:hAnsi="Verdana"/>
                <w:color w:val="4C4E53"/>
                <w:sz w:val="18"/>
                <w:szCs w:val="18"/>
              </w:rPr>
              <w:t>R</w:t>
            </w:r>
            <w:r w:rsidR="00896AB3" w:rsidRPr="00896AB3">
              <w:rPr>
                <w:rFonts w:ascii="Verdana" w:hAnsi="Verdana"/>
                <w:color w:val="4C4E53"/>
                <w:sz w:val="18"/>
                <w:szCs w:val="18"/>
              </w:rPr>
              <w:t>apport des commissaires aux comptes sur le rapport du président sur le gouvernement d’entreprise et les procédures de contrôle interne et de gestion des risques</w:t>
            </w:r>
          </w:p>
        </w:tc>
        <w:tc>
          <w:tcPr>
            <w:tcW w:w="2126" w:type="dxa"/>
            <w:vAlign w:val="center"/>
          </w:tcPr>
          <w:p w:rsidR="00896AB3" w:rsidRPr="00896AB3" w:rsidRDefault="00691990" w:rsidP="00691990">
            <w:pPr>
              <w:spacing w:before="60" w:after="60"/>
              <w:jc w:val="right"/>
              <w:rPr>
                <w:rFonts w:ascii="Verdana" w:hAnsi="Verdana"/>
                <w:color w:val="4C4E53"/>
                <w:sz w:val="18"/>
                <w:szCs w:val="18"/>
              </w:rPr>
            </w:pPr>
            <w:r>
              <w:rPr>
                <w:rFonts w:ascii="Verdana" w:hAnsi="Verdana"/>
                <w:color w:val="4C4E53"/>
                <w:sz w:val="18"/>
                <w:szCs w:val="18"/>
              </w:rPr>
              <w:t>114 à 115</w:t>
            </w:r>
          </w:p>
        </w:tc>
      </w:tr>
      <w:tr w:rsidR="00896AB3" w:rsidTr="00691990">
        <w:tc>
          <w:tcPr>
            <w:tcW w:w="6946" w:type="dxa"/>
          </w:tcPr>
          <w:p w:rsidR="00896AB3" w:rsidRPr="00896AB3" w:rsidRDefault="00691990" w:rsidP="00691990">
            <w:pPr>
              <w:spacing w:before="60" w:after="60"/>
              <w:jc w:val="left"/>
              <w:rPr>
                <w:rFonts w:ascii="Verdana" w:hAnsi="Verdana"/>
                <w:color w:val="4C4E53"/>
                <w:sz w:val="18"/>
                <w:szCs w:val="18"/>
              </w:rPr>
            </w:pPr>
            <w:r>
              <w:rPr>
                <w:rFonts w:ascii="Verdana" w:hAnsi="Verdana"/>
                <w:color w:val="4C4E53"/>
                <w:sz w:val="18"/>
                <w:szCs w:val="18"/>
              </w:rPr>
              <w:t>R</w:t>
            </w:r>
            <w:r w:rsidR="00896AB3" w:rsidRPr="00896AB3">
              <w:rPr>
                <w:rFonts w:ascii="Verdana" w:hAnsi="Verdana"/>
                <w:color w:val="4C4E53"/>
                <w:sz w:val="18"/>
                <w:szCs w:val="18"/>
              </w:rPr>
              <w:t>apport spécial des commissaires aux comptes sur les convent</w:t>
            </w:r>
            <w:r>
              <w:rPr>
                <w:rFonts w:ascii="Verdana" w:hAnsi="Verdana"/>
                <w:color w:val="4C4E53"/>
                <w:sz w:val="18"/>
                <w:szCs w:val="18"/>
              </w:rPr>
              <w:t>ions et engagements réglementés</w:t>
            </w:r>
          </w:p>
        </w:tc>
        <w:tc>
          <w:tcPr>
            <w:tcW w:w="2126" w:type="dxa"/>
            <w:vAlign w:val="center"/>
          </w:tcPr>
          <w:p w:rsidR="00896AB3" w:rsidRPr="00896AB3" w:rsidRDefault="00691990" w:rsidP="00691990">
            <w:pPr>
              <w:spacing w:before="60" w:after="60"/>
              <w:jc w:val="right"/>
              <w:rPr>
                <w:rFonts w:ascii="Verdana" w:hAnsi="Verdana"/>
                <w:color w:val="4C4E53"/>
                <w:sz w:val="18"/>
                <w:szCs w:val="18"/>
              </w:rPr>
            </w:pPr>
            <w:r>
              <w:rPr>
                <w:rFonts w:ascii="Verdana" w:hAnsi="Verdana"/>
                <w:color w:val="4C4E53"/>
                <w:sz w:val="18"/>
                <w:szCs w:val="18"/>
              </w:rPr>
              <w:t>116 à 117</w:t>
            </w:r>
          </w:p>
        </w:tc>
      </w:tr>
      <w:tr w:rsidR="00896AB3" w:rsidTr="00691990">
        <w:tc>
          <w:tcPr>
            <w:tcW w:w="6946" w:type="dxa"/>
          </w:tcPr>
          <w:p w:rsidR="00896AB3" w:rsidRPr="00896AB3" w:rsidRDefault="00691990" w:rsidP="00691990">
            <w:pPr>
              <w:spacing w:before="60" w:after="60"/>
              <w:jc w:val="left"/>
              <w:rPr>
                <w:rFonts w:ascii="Verdana" w:hAnsi="Verdana"/>
                <w:color w:val="4C4E53"/>
                <w:sz w:val="18"/>
                <w:szCs w:val="18"/>
              </w:rPr>
            </w:pPr>
            <w:r>
              <w:rPr>
                <w:rFonts w:ascii="Verdana" w:hAnsi="Verdana"/>
                <w:color w:val="4C4E53"/>
                <w:sz w:val="18"/>
                <w:szCs w:val="18"/>
              </w:rPr>
              <w:t>R</w:t>
            </w:r>
            <w:r w:rsidR="00896AB3" w:rsidRPr="00896AB3">
              <w:rPr>
                <w:rFonts w:ascii="Verdana" w:hAnsi="Verdana"/>
                <w:color w:val="4C4E53"/>
                <w:sz w:val="18"/>
                <w:szCs w:val="18"/>
              </w:rPr>
              <w:t>apport des commissaires aux comptes sur les informations sociales, sociétales et environnementales</w:t>
            </w:r>
          </w:p>
        </w:tc>
        <w:tc>
          <w:tcPr>
            <w:tcW w:w="2126" w:type="dxa"/>
            <w:vAlign w:val="center"/>
          </w:tcPr>
          <w:p w:rsidR="00896AB3" w:rsidRPr="00896AB3" w:rsidRDefault="00691990" w:rsidP="00691990">
            <w:pPr>
              <w:spacing w:before="60" w:after="60"/>
              <w:jc w:val="right"/>
              <w:rPr>
                <w:rFonts w:ascii="Verdana" w:hAnsi="Verdana"/>
                <w:color w:val="4C4E53"/>
                <w:sz w:val="18"/>
                <w:szCs w:val="18"/>
              </w:rPr>
            </w:pPr>
            <w:r>
              <w:rPr>
                <w:rFonts w:ascii="Verdana" w:hAnsi="Verdana"/>
                <w:color w:val="4C4E53"/>
                <w:sz w:val="18"/>
                <w:szCs w:val="18"/>
              </w:rPr>
              <w:t>136 à 138</w:t>
            </w:r>
          </w:p>
        </w:tc>
      </w:tr>
      <w:tr w:rsidR="00896AB3" w:rsidTr="00691990">
        <w:tc>
          <w:tcPr>
            <w:tcW w:w="6946" w:type="dxa"/>
          </w:tcPr>
          <w:p w:rsidR="00896AB3" w:rsidRPr="00896AB3" w:rsidRDefault="00691990" w:rsidP="00691990">
            <w:pPr>
              <w:spacing w:before="60" w:after="60"/>
              <w:jc w:val="left"/>
              <w:rPr>
                <w:rFonts w:ascii="Verdana" w:hAnsi="Verdana"/>
                <w:color w:val="4C4E53"/>
                <w:sz w:val="18"/>
                <w:szCs w:val="18"/>
              </w:rPr>
            </w:pPr>
            <w:r>
              <w:rPr>
                <w:rFonts w:ascii="Verdana" w:hAnsi="Verdana"/>
                <w:color w:val="4C4E53"/>
                <w:sz w:val="18"/>
                <w:szCs w:val="18"/>
              </w:rPr>
              <w:t>T</w:t>
            </w:r>
            <w:r w:rsidR="00896AB3" w:rsidRPr="00896AB3">
              <w:rPr>
                <w:rFonts w:ascii="Verdana" w:hAnsi="Verdana"/>
                <w:color w:val="4C4E53"/>
                <w:sz w:val="18"/>
                <w:szCs w:val="18"/>
              </w:rPr>
              <w:t>ableau récapitulatif des délégations en matière d’augmentation de capital</w:t>
            </w:r>
          </w:p>
        </w:tc>
        <w:tc>
          <w:tcPr>
            <w:tcW w:w="2126" w:type="dxa"/>
            <w:vAlign w:val="center"/>
          </w:tcPr>
          <w:p w:rsidR="00896AB3" w:rsidRPr="00896AB3" w:rsidRDefault="00691990" w:rsidP="00691990">
            <w:pPr>
              <w:spacing w:before="60" w:after="60"/>
              <w:jc w:val="right"/>
              <w:rPr>
                <w:rFonts w:ascii="Verdana" w:hAnsi="Verdana"/>
                <w:color w:val="4C4E53"/>
                <w:sz w:val="18"/>
                <w:szCs w:val="18"/>
              </w:rPr>
            </w:pPr>
            <w:r>
              <w:rPr>
                <w:rFonts w:ascii="Verdana" w:hAnsi="Verdana"/>
                <w:color w:val="4C4E53"/>
                <w:sz w:val="18"/>
                <w:szCs w:val="18"/>
              </w:rPr>
              <w:t>90 à 91</w:t>
            </w:r>
          </w:p>
        </w:tc>
      </w:tr>
    </w:tbl>
    <w:p w:rsidR="00896AB3" w:rsidRDefault="00896AB3" w:rsidP="005F1203">
      <w:pPr>
        <w:spacing w:line="240" w:lineRule="auto"/>
        <w:ind w:left="540" w:hanging="540"/>
        <w:jc w:val="both"/>
        <w:rPr>
          <w:rFonts w:ascii="Verdana" w:hAnsi="Verdana"/>
          <w:color w:val="4C4E53"/>
          <w:sz w:val="20"/>
          <w:szCs w:val="20"/>
        </w:rPr>
      </w:pPr>
    </w:p>
    <w:p w:rsidR="00896AB3" w:rsidRPr="005F1203" w:rsidRDefault="00896AB3" w:rsidP="005F1203">
      <w:pPr>
        <w:spacing w:line="240" w:lineRule="auto"/>
        <w:ind w:left="540" w:hanging="540"/>
        <w:jc w:val="both"/>
        <w:rPr>
          <w:rFonts w:ascii="Verdana" w:hAnsi="Verdana"/>
          <w:color w:val="4C4E53"/>
          <w:sz w:val="20"/>
          <w:szCs w:val="20"/>
        </w:rPr>
      </w:pPr>
    </w:p>
    <w:p w:rsidR="00896AB3" w:rsidRPr="005F1203" w:rsidRDefault="00896AB3">
      <w:pPr>
        <w:spacing w:line="240" w:lineRule="auto"/>
        <w:jc w:val="both"/>
        <w:rPr>
          <w:rFonts w:ascii="Verdana" w:hAnsi="Verdana"/>
          <w:color w:val="4C4E53"/>
          <w:sz w:val="20"/>
          <w:szCs w:val="20"/>
        </w:rPr>
      </w:pPr>
    </w:p>
    <w:sectPr w:rsidR="00896AB3" w:rsidRPr="005F1203" w:rsidSect="00A2072F">
      <w:headerReference w:type="default" r:id="rId7"/>
      <w:footerReference w:type="default" r:id="rId8"/>
      <w:pgSz w:w="11906" w:h="16838"/>
      <w:pgMar w:top="2552"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0BF" w:rsidRDefault="005460BF" w:rsidP="00DF5C8D">
      <w:pPr>
        <w:spacing w:line="240" w:lineRule="auto"/>
      </w:pPr>
      <w:r>
        <w:separator/>
      </w:r>
    </w:p>
  </w:endnote>
  <w:endnote w:type="continuationSeparator" w:id="0">
    <w:p w:rsidR="005460BF" w:rsidRDefault="005460BF" w:rsidP="00DF5C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XLt">
    <w:altName w:val="ITC Avant Garde Std XLt"/>
    <w:panose1 w:val="00000000000000000000"/>
    <w:charset w:val="00"/>
    <w:family w:val="swiss"/>
    <w:notTrueType/>
    <w:pitch w:val="default"/>
    <w:sig w:usb0="00000003" w:usb1="00000000" w:usb2="00000000" w:usb3="00000000" w:csb0="00000001" w:csb1="00000000"/>
  </w:font>
  <w:font w:name="ITC Avant Garde Std Bk Cn">
    <w:altName w:val="ITC Avant Garde Std Bk Cn"/>
    <w:panose1 w:val="00000000000000000000"/>
    <w:charset w:val="00"/>
    <w:family w:val="swiss"/>
    <w:notTrueType/>
    <w:pitch w:val="default"/>
    <w:sig w:usb0="00000003" w:usb1="00000000" w:usb2="00000000" w:usb3="00000000" w:csb0="00000001" w:csb1="00000000"/>
  </w:font>
  <w:font w:name="Lucida Grand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8D" w:rsidRDefault="00DF5C8D" w:rsidP="00DF5C8D">
    <w:pPr>
      <w:shd w:val="clear" w:color="auto" w:fill="FFFFFF"/>
      <w:spacing w:line="240" w:lineRule="auto"/>
      <w:rPr>
        <w:rFonts w:ascii="Arial" w:eastAsia="Times New Roman" w:hAnsi="Arial" w:cs="Arial"/>
        <w:color w:val="222222"/>
        <w:sz w:val="16"/>
        <w:szCs w:val="16"/>
        <w:lang w:eastAsia="fr-FR"/>
      </w:rPr>
    </w:pPr>
  </w:p>
  <w:p w:rsidR="00DF5C8D" w:rsidRPr="00E553C3" w:rsidRDefault="00E553C3" w:rsidP="00DF5C8D">
    <w:pPr>
      <w:shd w:val="clear" w:color="auto" w:fill="FFFFFF"/>
      <w:spacing w:line="240" w:lineRule="auto"/>
      <w:rPr>
        <w:rFonts w:ascii="Arial" w:eastAsia="Times New Roman" w:hAnsi="Arial" w:cs="Arial"/>
        <w:b/>
        <w:color w:val="4C4E53"/>
        <w:sz w:val="14"/>
        <w:szCs w:val="14"/>
        <w:lang w:eastAsia="fr-FR"/>
      </w:rPr>
    </w:pPr>
    <w:r w:rsidRPr="00E553C3">
      <w:rPr>
        <w:rFonts w:ascii="Arial" w:eastAsia="Times New Roman" w:hAnsi="Arial" w:cs="Arial"/>
        <w:b/>
        <w:color w:val="4C4E53"/>
        <w:sz w:val="14"/>
        <w:szCs w:val="14"/>
        <w:lang w:eastAsia="fr-FR"/>
      </w:rPr>
      <w:t>VIDELIO</w:t>
    </w:r>
    <w:r w:rsidR="000E3E09" w:rsidRPr="00E553C3">
      <w:rPr>
        <w:rFonts w:ascii="Arial" w:eastAsia="Times New Roman" w:hAnsi="Arial" w:cs="Arial"/>
        <w:b/>
        <w:color w:val="4C4E53"/>
        <w:sz w:val="14"/>
        <w:szCs w:val="14"/>
        <w:lang w:eastAsia="fr-FR"/>
      </w:rPr>
      <w:t xml:space="preserve"> -</w:t>
    </w:r>
    <w:r w:rsidR="00057646" w:rsidRPr="00E553C3">
      <w:rPr>
        <w:rFonts w:ascii="Arial" w:eastAsia="Times New Roman" w:hAnsi="Arial" w:cs="Arial"/>
        <w:b/>
        <w:color w:val="4C4E53"/>
        <w:sz w:val="14"/>
        <w:szCs w:val="14"/>
        <w:lang w:eastAsia="fr-FR"/>
      </w:rPr>
      <w:t xml:space="preserve"> </w:t>
    </w:r>
    <w:r w:rsidR="00DF5C8D" w:rsidRPr="00E553C3">
      <w:rPr>
        <w:rFonts w:ascii="Arial" w:eastAsia="Times New Roman" w:hAnsi="Arial" w:cs="Arial"/>
        <w:b/>
        <w:color w:val="4C4E53"/>
        <w:sz w:val="14"/>
        <w:szCs w:val="14"/>
        <w:lang w:eastAsia="fr-FR"/>
      </w:rPr>
      <w:t>13/15 rue Louis Kérautret Botmel - CS 76709 - 35067 Rennes Cedex - Tél. : 02 23 35 57 57 - Fax : 02 23 35 56 61</w:t>
    </w:r>
  </w:p>
  <w:p w:rsidR="00DF5C8D" w:rsidRPr="00E553C3" w:rsidRDefault="00DF5C8D" w:rsidP="00DF5C8D">
    <w:pPr>
      <w:shd w:val="clear" w:color="auto" w:fill="FFFFFF"/>
      <w:spacing w:line="240" w:lineRule="auto"/>
      <w:rPr>
        <w:rFonts w:ascii="Arial" w:eastAsia="Times New Roman" w:hAnsi="Arial" w:cs="Arial"/>
        <w:b/>
        <w:color w:val="4C4E53"/>
        <w:sz w:val="14"/>
        <w:szCs w:val="14"/>
        <w:lang w:eastAsia="fr-FR"/>
      </w:rPr>
    </w:pPr>
    <w:r w:rsidRPr="00E553C3">
      <w:rPr>
        <w:rFonts w:ascii="Arial" w:eastAsia="Times New Roman" w:hAnsi="Arial" w:cs="Arial"/>
        <w:b/>
        <w:color w:val="4C4E53"/>
        <w:sz w:val="14"/>
        <w:szCs w:val="14"/>
        <w:lang w:eastAsia="fr-FR"/>
      </w:rPr>
      <w:t>SA au capital de 7 762 745,10 euros - RCS Rennes B 382 574 739 - APE 671C - N° TVA FR 53 382 574 739</w:t>
    </w:r>
  </w:p>
  <w:p w:rsidR="00DF5C8D" w:rsidRPr="00DF5C8D" w:rsidRDefault="00DF5C8D" w:rsidP="00DF5C8D">
    <w:pPr>
      <w:pStyle w:val="Pieddepage"/>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0BF" w:rsidRDefault="005460BF" w:rsidP="00DF5C8D">
      <w:pPr>
        <w:spacing w:line="240" w:lineRule="auto"/>
      </w:pPr>
      <w:r>
        <w:separator/>
      </w:r>
    </w:p>
  </w:footnote>
  <w:footnote w:type="continuationSeparator" w:id="0">
    <w:p w:rsidR="005460BF" w:rsidRDefault="005460BF" w:rsidP="00DF5C8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C3" w:rsidRDefault="00E553C3">
    <w:pPr>
      <w:pStyle w:val="En-tte"/>
    </w:pPr>
    <w:r w:rsidRPr="00E553C3">
      <w:rPr>
        <w:noProof/>
        <w:lang w:eastAsia="fr-FR"/>
      </w:rPr>
      <w:drawing>
        <wp:inline distT="0" distB="0" distL="0" distR="0">
          <wp:extent cx="2009775" cy="952368"/>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lio-Baseline-V1-2014-RVB.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6639" cy="96035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F5BF4D"/>
    <w:multiLevelType w:val="hybridMultilevel"/>
    <w:tmpl w:val="CCB1A7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AC2655"/>
    <w:multiLevelType w:val="hybridMultilevel"/>
    <w:tmpl w:val="70B65948"/>
    <w:lvl w:ilvl="0" w:tplc="BBD6822C">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547A86"/>
    <w:multiLevelType w:val="hybridMultilevel"/>
    <w:tmpl w:val="E884B596"/>
    <w:lvl w:ilvl="0" w:tplc="7FBCC3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6E92B0E"/>
    <w:multiLevelType w:val="hybridMultilevel"/>
    <w:tmpl w:val="4DB0BB06"/>
    <w:lvl w:ilvl="0" w:tplc="40A8C710">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C19C7"/>
    <w:rsid w:val="00013E78"/>
    <w:rsid w:val="000179D7"/>
    <w:rsid w:val="000215EA"/>
    <w:rsid w:val="00022FD1"/>
    <w:rsid w:val="000427A1"/>
    <w:rsid w:val="00057646"/>
    <w:rsid w:val="000A238C"/>
    <w:rsid w:val="000C0FDE"/>
    <w:rsid w:val="000C252E"/>
    <w:rsid w:val="000E3E09"/>
    <w:rsid w:val="000E7240"/>
    <w:rsid w:val="000F0EDB"/>
    <w:rsid w:val="00112C5C"/>
    <w:rsid w:val="001E6E45"/>
    <w:rsid w:val="001F741D"/>
    <w:rsid w:val="00227494"/>
    <w:rsid w:val="00227B12"/>
    <w:rsid w:val="002504A8"/>
    <w:rsid w:val="002636FB"/>
    <w:rsid w:val="002702D6"/>
    <w:rsid w:val="0029507D"/>
    <w:rsid w:val="0029666B"/>
    <w:rsid w:val="002E6059"/>
    <w:rsid w:val="003749A3"/>
    <w:rsid w:val="003B0BE5"/>
    <w:rsid w:val="003D6351"/>
    <w:rsid w:val="004172E6"/>
    <w:rsid w:val="0042417C"/>
    <w:rsid w:val="00454792"/>
    <w:rsid w:val="00475C91"/>
    <w:rsid w:val="004C18AD"/>
    <w:rsid w:val="004F5F28"/>
    <w:rsid w:val="00506378"/>
    <w:rsid w:val="00526BB7"/>
    <w:rsid w:val="005460BF"/>
    <w:rsid w:val="005779B2"/>
    <w:rsid w:val="005904BA"/>
    <w:rsid w:val="00595708"/>
    <w:rsid w:val="005A3293"/>
    <w:rsid w:val="005C19C7"/>
    <w:rsid w:val="005F1203"/>
    <w:rsid w:val="005F6580"/>
    <w:rsid w:val="005F6674"/>
    <w:rsid w:val="00680167"/>
    <w:rsid w:val="0068236B"/>
    <w:rsid w:val="00691990"/>
    <w:rsid w:val="006B27DE"/>
    <w:rsid w:val="006B40D3"/>
    <w:rsid w:val="006B6A25"/>
    <w:rsid w:val="006E52CC"/>
    <w:rsid w:val="0075131C"/>
    <w:rsid w:val="00763145"/>
    <w:rsid w:val="0079786B"/>
    <w:rsid w:val="007B33C2"/>
    <w:rsid w:val="007D0263"/>
    <w:rsid w:val="008114D7"/>
    <w:rsid w:val="00853689"/>
    <w:rsid w:val="008678E5"/>
    <w:rsid w:val="00890C57"/>
    <w:rsid w:val="00892CC3"/>
    <w:rsid w:val="00896AB3"/>
    <w:rsid w:val="008B57E6"/>
    <w:rsid w:val="008E799C"/>
    <w:rsid w:val="00913495"/>
    <w:rsid w:val="009B2C00"/>
    <w:rsid w:val="00A2072F"/>
    <w:rsid w:val="00A23F95"/>
    <w:rsid w:val="00A341CA"/>
    <w:rsid w:val="00A51198"/>
    <w:rsid w:val="00A77995"/>
    <w:rsid w:val="00AE0DE2"/>
    <w:rsid w:val="00AF3B05"/>
    <w:rsid w:val="00B03D8E"/>
    <w:rsid w:val="00B64BDA"/>
    <w:rsid w:val="00B808F2"/>
    <w:rsid w:val="00BF49CD"/>
    <w:rsid w:val="00C37A4D"/>
    <w:rsid w:val="00C73B14"/>
    <w:rsid w:val="00C80B54"/>
    <w:rsid w:val="00C8526A"/>
    <w:rsid w:val="00C9041B"/>
    <w:rsid w:val="00C90463"/>
    <w:rsid w:val="00CA216D"/>
    <w:rsid w:val="00CA40B4"/>
    <w:rsid w:val="00CC2904"/>
    <w:rsid w:val="00CE6D38"/>
    <w:rsid w:val="00CE737E"/>
    <w:rsid w:val="00CF7A89"/>
    <w:rsid w:val="00D11C98"/>
    <w:rsid w:val="00D635CA"/>
    <w:rsid w:val="00D65BE0"/>
    <w:rsid w:val="00DD2DDD"/>
    <w:rsid w:val="00DF5C8D"/>
    <w:rsid w:val="00E100A5"/>
    <w:rsid w:val="00E553C3"/>
    <w:rsid w:val="00E71FDF"/>
    <w:rsid w:val="00EA247D"/>
    <w:rsid w:val="00EB4815"/>
    <w:rsid w:val="00EC5B5B"/>
    <w:rsid w:val="00EC7B23"/>
    <w:rsid w:val="00ED1B1C"/>
    <w:rsid w:val="00F121B1"/>
    <w:rsid w:val="00F22DB4"/>
    <w:rsid w:val="00F425CE"/>
    <w:rsid w:val="00F6732E"/>
    <w:rsid w:val="00F80B3A"/>
    <w:rsid w:val="00FB77FE"/>
    <w:rsid w:val="00FC3AB5"/>
    <w:rsid w:val="00FD2FCF"/>
    <w:rsid w:val="00FE7030"/>
    <w:rsid w:val="00FE75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30"/>
  </w:style>
  <w:style w:type="paragraph" w:styleId="Titre1">
    <w:name w:val="heading 1"/>
    <w:aliases w:val="Titre 1 Acte"/>
    <w:basedOn w:val="Normal"/>
    <w:next w:val="Normal"/>
    <w:link w:val="Titre1Car"/>
    <w:qFormat/>
    <w:rsid w:val="00A2072F"/>
    <w:pPr>
      <w:keepNext/>
      <w:spacing w:after="480" w:line="240" w:lineRule="auto"/>
      <w:outlineLvl w:val="0"/>
    </w:pPr>
    <w:rPr>
      <w:rFonts w:ascii="Times New Roman" w:eastAsia="Times New Roman" w:hAnsi="Times New Roman" w:cs="Times New Roman"/>
      <w:b/>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0">
    <w:name w:val="Pa0"/>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1">
    <w:name w:val="A1"/>
    <w:uiPriority w:val="99"/>
    <w:rsid w:val="008114D7"/>
    <w:rPr>
      <w:rFonts w:cs="ITC Avant Garde Std XLt"/>
      <w:color w:val="000000"/>
      <w:sz w:val="60"/>
      <w:szCs w:val="60"/>
    </w:rPr>
  </w:style>
  <w:style w:type="paragraph" w:customStyle="1" w:styleId="Pa1">
    <w:name w:val="Pa1"/>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2">
    <w:name w:val="A2"/>
    <w:uiPriority w:val="99"/>
    <w:rsid w:val="008114D7"/>
    <w:rPr>
      <w:rFonts w:cs="ITC Avant Garde Std XLt"/>
      <w:color w:val="000000"/>
      <w:sz w:val="20"/>
      <w:szCs w:val="20"/>
    </w:rPr>
  </w:style>
  <w:style w:type="paragraph" w:customStyle="1" w:styleId="Default">
    <w:name w:val="Default"/>
    <w:rsid w:val="00F80B3A"/>
    <w:pPr>
      <w:autoSpaceDE w:val="0"/>
      <w:autoSpaceDN w:val="0"/>
      <w:adjustRightInd w:val="0"/>
      <w:spacing w:line="240" w:lineRule="auto"/>
      <w:jc w:val="left"/>
    </w:pPr>
    <w:rPr>
      <w:rFonts w:ascii="ITC Avant Garde Std Bk Cn" w:hAnsi="ITC Avant Garde Std Bk Cn" w:cs="ITC Avant Garde Std Bk Cn"/>
      <w:color w:val="000000"/>
      <w:sz w:val="24"/>
      <w:szCs w:val="24"/>
    </w:rPr>
  </w:style>
  <w:style w:type="character" w:customStyle="1" w:styleId="A3">
    <w:name w:val="A3"/>
    <w:uiPriority w:val="99"/>
    <w:rsid w:val="00F80B3A"/>
    <w:rPr>
      <w:rFonts w:cs="ITC Avant Garde Std Bk Cn"/>
      <w:color w:val="000000"/>
      <w:sz w:val="18"/>
      <w:szCs w:val="18"/>
    </w:rPr>
  </w:style>
  <w:style w:type="paragraph" w:styleId="Textedebulles">
    <w:name w:val="Balloon Text"/>
    <w:basedOn w:val="Normal"/>
    <w:link w:val="TextedebullesCar"/>
    <w:uiPriority w:val="99"/>
    <w:semiHidden/>
    <w:unhideWhenUsed/>
    <w:rsid w:val="004172E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72E6"/>
    <w:rPr>
      <w:rFonts w:ascii="Lucida Grande" w:hAnsi="Lucida Grande" w:cs="Lucida Grande"/>
      <w:sz w:val="18"/>
      <w:szCs w:val="18"/>
    </w:rPr>
  </w:style>
  <w:style w:type="paragraph" w:styleId="En-tte">
    <w:name w:val="header"/>
    <w:basedOn w:val="Normal"/>
    <w:link w:val="En-tteCar"/>
    <w:uiPriority w:val="99"/>
    <w:unhideWhenUsed/>
    <w:rsid w:val="00DF5C8D"/>
    <w:pPr>
      <w:tabs>
        <w:tab w:val="center" w:pos="4536"/>
        <w:tab w:val="right" w:pos="9072"/>
      </w:tabs>
      <w:spacing w:line="240" w:lineRule="auto"/>
    </w:pPr>
  </w:style>
  <w:style w:type="character" w:customStyle="1" w:styleId="En-tteCar">
    <w:name w:val="En-tête Car"/>
    <w:basedOn w:val="Policepardfaut"/>
    <w:link w:val="En-tte"/>
    <w:uiPriority w:val="99"/>
    <w:rsid w:val="00DF5C8D"/>
  </w:style>
  <w:style w:type="paragraph" w:styleId="Pieddepage">
    <w:name w:val="footer"/>
    <w:basedOn w:val="Normal"/>
    <w:link w:val="PieddepageCar"/>
    <w:uiPriority w:val="99"/>
    <w:unhideWhenUsed/>
    <w:rsid w:val="00DF5C8D"/>
    <w:pPr>
      <w:tabs>
        <w:tab w:val="center" w:pos="4536"/>
        <w:tab w:val="right" w:pos="9072"/>
      </w:tabs>
      <w:spacing w:line="240" w:lineRule="auto"/>
    </w:pPr>
  </w:style>
  <w:style w:type="character" w:customStyle="1" w:styleId="PieddepageCar">
    <w:name w:val="Pied de page Car"/>
    <w:basedOn w:val="Policepardfaut"/>
    <w:link w:val="Pieddepage"/>
    <w:uiPriority w:val="99"/>
    <w:rsid w:val="00DF5C8D"/>
  </w:style>
  <w:style w:type="character" w:customStyle="1" w:styleId="apple-converted-space">
    <w:name w:val="apple-converted-space"/>
    <w:basedOn w:val="Policepardfaut"/>
    <w:rsid w:val="00057646"/>
  </w:style>
  <w:style w:type="paragraph" w:styleId="Paragraphedeliste">
    <w:name w:val="List Paragraph"/>
    <w:basedOn w:val="Normal"/>
    <w:uiPriority w:val="34"/>
    <w:qFormat/>
    <w:rsid w:val="00CA40B4"/>
    <w:pPr>
      <w:ind w:left="720"/>
      <w:contextualSpacing/>
    </w:pPr>
  </w:style>
  <w:style w:type="character" w:customStyle="1" w:styleId="Titre1Car">
    <w:name w:val="Titre 1 Car"/>
    <w:aliases w:val="Titre 1 Acte Car"/>
    <w:basedOn w:val="Policepardfaut"/>
    <w:link w:val="Titre1"/>
    <w:rsid w:val="00A2072F"/>
    <w:rPr>
      <w:rFonts w:ascii="Times New Roman" w:eastAsia="Times New Roman" w:hAnsi="Times New Roman" w:cs="Times New Roman"/>
      <w:b/>
      <w:sz w:val="28"/>
      <w:szCs w:val="20"/>
      <w:lang w:eastAsia="fr-FR"/>
    </w:rPr>
  </w:style>
  <w:style w:type="paragraph" w:styleId="Corpsdetexte">
    <w:name w:val="Body Text"/>
    <w:aliases w:val="Corps de texte Car Car Car Car Car Car Car Car Car Car Car Car Car Car Car Car Car Car Car Car Car Car Car Car Car Car Car Car Car Car Car Car Car Car Car Car Car Car,bt"/>
    <w:basedOn w:val="Normal"/>
    <w:link w:val="CorpsdetexteCar"/>
    <w:rsid w:val="00A2072F"/>
    <w:pPr>
      <w:overflowPunct w:val="0"/>
      <w:autoSpaceDE w:val="0"/>
      <w:autoSpaceDN w:val="0"/>
      <w:adjustRightInd w:val="0"/>
      <w:spacing w:line="240" w:lineRule="exact"/>
      <w:jc w:val="both"/>
      <w:textAlignment w:val="baseline"/>
    </w:pPr>
    <w:rPr>
      <w:rFonts w:ascii="Times New Roman" w:eastAsia="Times New Roman" w:hAnsi="Times New Roman" w:cs="Times New Roman"/>
      <w:bCs/>
      <w:lang w:eastAsia="fr-FR"/>
    </w:rPr>
  </w:style>
  <w:style w:type="character" w:customStyle="1" w:styleId="CorpsdetexteCar">
    <w:name w:val="Corps de texte Car"/>
    <w:aliases w:val="Corps de texte Car Car Car Car Car Car Car Car Car Car Car Car Car Car Car Car Car Car Car Car Car Car Car Car Car Car Car Car Car Car Car Car Car Car Car Car Car Car Car,bt Car"/>
    <w:basedOn w:val="Policepardfaut"/>
    <w:link w:val="Corpsdetexte"/>
    <w:rsid w:val="00A2072F"/>
    <w:rPr>
      <w:rFonts w:ascii="Times New Roman" w:eastAsia="Times New Roman" w:hAnsi="Times New Roman" w:cs="Times New Roman"/>
      <w:bCs/>
      <w:lang w:eastAsia="fr-FR"/>
    </w:rPr>
  </w:style>
  <w:style w:type="paragraph" w:styleId="Titre">
    <w:name w:val="Title"/>
    <w:basedOn w:val="Normal"/>
    <w:link w:val="TitreCar"/>
    <w:qFormat/>
    <w:rsid w:val="00A2072F"/>
    <w:pPr>
      <w:spacing w:line="240" w:lineRule="auto"/>
    </w:pPr>
    <w:rPr>
      <w:rFonts w:ascii="Times New Roman" w:eastAsia="Times New Roman" w:hAnsi="Times New Roman" w:cs="Times New Roman"/>
      <w:b/>
      <w:smallCaps/>
      <w:szCs w:val="24"/>
      <w:lang w:eastAsia="fr-FR"/>
    </w:rPr>
  </w:style>
  <w:style w:type="character" w:customStyle="1" w:styleId="TitreCar">
    <w:name w:val="Titre Car"/>
    <w:basedOn w:val="Policepardfaut"/>
    <w:link w:val="Titre"/>
    <w:rsid w:val="00A2072F"/>
    <w:rPr>
      <w:rFonts w:ascii="Times New Roman" w:eastAsia="Times New Roman" w:hAnsi="Times New Roman" w:cs="Times New Roman"/>
      <w:b/>
      <w:smallCaps/>
      <w:szCs w:val="24"/>
      <w:lang w:eastAsia="fr-FR"/>
    </w:rPr>
  </w:style>
  <w:style w:type="paragraph" w:styleId="NormalWeb">
    <w:name w:val="Normal (Web)"/>
    <w:basedOn w:val="Normal"/>
    <w:rsid w:val="00A2072F"/>
    <w:pPr>
      <w:spacing w:before="100" w:beforeAutospacing="1" w:after="100" w:afterAutospacing="1" w:line="240" w:lineRule="auto"/>
      <w:jc w:val="left"/>
    </w:pPr>
    <w:rPr>
      <w:rFonts w:ascii="Arial Unicode MS" w:eastAsia="Arial Unicode MS" w:hAnsi="Arial Unicode MS" w:cs="Arial Unicode MS"/>
      <w:sz w:val="24"/>
      <w:szCs w:val="24"/>
      <w:lang w:eastAsia="fr-FR"/>
    </w:rPr>
  </w:style>
  <w:style w:type="character" w:styleId="Lienhypertexte">
    <w:name w:val="Hyperlink"/>
    <w:basedOn w:val="Policepardfaut"/>
    <w:uiPriority w:val="99"/>
    <w:unhideWhenUsed/>
    <w:rsid w:val="00A2072F"/>
    <w:rPr>
      <w:color w:val="0000FF"/>
      <w:u w:val="single"/>
    </w:rPr>
  </w:style>
  <w:style w:type="table" w:styleId="Grilledutableau">
    <w:name w:val="Table Grid"/>
    <w:basedOn w:val="TableauNormal"/>
    <w:uiPriority w:val="59"/>
    <w:rsid w:val="00896AB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0">
    <w:name w:val="Pa0"/>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1">
    <w:name w:val="A1"/>
    <w:uiPriority w:val="99"/>
    <w:rsid w:val="008114D7"/>
    <w:rPr>
      <w:rFonts w:cs="ITC Avant Garde Std XLt"/>
      <w:color w:val="000000"/>
      <w:sz w:val="60"/>
      <w:szCs w:val="60"/>
    </w:rPr>
  </w:style>
  <w:style w:type="paragraph" w:customStyle="1" w:styleId="Pa1">
    <w:name w:val="Pa1"/>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2">
    <w:name w:val="A2"/>
    <w:uiPriority w:val="99"/>
    <w:rsid w:val="008114D7"/>
    <w:rPr>
      <w:rFonts w:cs="ITC Avant Garde Std XLt"/>
      <w:color w:val="000000"/>
      <w:sz w:val="20"/>
      <w:szCs w:val="20"/>
    </w:rPr>
  </w:style>
  <w:style w:type="paragraph" w:customStyle="1" w:styleId="Default">
    <w:name w:val="Default"/>
    <w:rsid w:val="00F80B3A"/>
    <w:pPr>
      <w:autoSpaceDE w:val="0"/>
      <w:autoSpaceDN w:val="0"/>
      <w:adjustRightInd w:val="0"/>
      <w:spacing w:line="240" w:lineRule="auto"/>
      <w:jc w:val="left"/>
    </w:pPr>
    <w:rPr>
      <w:rFonts w:ascii="ITC Avant Garde Std Bk Cn" w:hAnsi="ITC Avant Garde Std Bk Cn" w:cs="ITC Avant Garde Std Bk Cn"/>
      <w:color w:val="000000"/>
      <w:sz w:val="24"/>
      <w:szCs w:val="24"/>
    </w:rPr>
  </w:style>
  <w:style w:type="character" w:customStyle="1" w:styleId="A3">
    <w:name w:val="A3"/>
    <w:uiPriority w:val="99"/>
    <w:rsid w:val="00F80B3A"/>
    <w:rPr>
      <w:rFonts w:cs="ITC Avant Garde Std Bk Cn"/>
      <w:color w:val="000000"/>
      <w:sz w:val="18"/>
      <w:szCs w:val="18"/>
    </w:rPr>
  </w:style>
  <w:style w:type="paragraph" w:styleId="Textedebulles">
    <w:name w:val="Balloon Text"/>
    <w:basedOn w:val="Normal"/>
    <w:link w:val="TextedebullesCar"/>
    <w:uiPriority w:val="99"/>
    <w:semiHidden/>
    <w:unhideWhenUsed/>
    <w:rsid w:val="004172E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72E6"/>
    <w:rPr>
      <w:rFonts w:ascii="Lucida Grande" w:hAnsi="Lucida Grande" w:cs="Lucida Grande"/>
      <w:sz w:val="18"/>
      <w:szCs w:val="18"/>
    </w:rPr>
  </w:style>
  <w:style w:type="paragraph" w:styleId="En-tte">
    <w:name w:val="header"/>
    <w:basedOn w:val="Normal"/>
    <w:link w:val="En-tteCar"/>
    <w:uiPriority w:val="99"/>
    <w:unhideWhenUsed/>
    <w:rsid w:val="00DF5C8D"/>
    <w:pPr>
      <w:tabs>
        <w:tab w:val="center" w:pos="4536"/>
        <w:tab w:val="right" w:pos="9072"/>
      </w:tabs>
      <w:spacing w:line="240" w:lineRule="auto"/>
    </w:pPr>
  </w:style>
  <w:style w:type="character" w:customStyle="1" w:styleId="En-tteCar">
    <w:name w:val="En-tête Car"/>
    <w:basedOn w:val="Policepardfaut"/>
    <w:link w:val="En-tte"/>
    <w:uiPriority w:val="99"/>
    <w:rsid w:val="00DF5C8D"/>
  </w:style>
  <w:style w:type="paragraph" w:styleId="Pieddepage">
    <w:name w:val="footer"/>
    <w:basedOn w:val="Normal"/>
    <w:link w:val="PieddepageCar"/>
    <w:uiPriority w:val="99"/>
    <w:unhideWhenUsed/>
    <w:rsid w:val="00DF5C8D"/>
    <w:pPr>
      <w:tabs>
        <w:tab w:val="center" w:pos="4536"/>
        <w:tab w:val="right" w:pos="9072"/>
      </w:tabs>
      <w:spacing w:line="240" w:lineRule="auto"/>
    </w:pPr>
  </w:style>
  <w:style w:type="character" w:customStyle="1" w:styleId="PieddepageCar">
    <w:name w:val="Pied de page Car"/>
    <w:basedOn w:val="Policepardfaut"/>
    <w:link w:val="Pieddepage"/>
    <w:uiPriority w:val="99"/>
    <w:rsid w:val="00DF5C8D"/>
  </w:style>
  <w:style w:type="character" w:customStyle="1" w:styleId="apple-converted-space">
    <w:name w:val="apple-converted-space"/>
    <w:basedOn w:val="Policepardfaut"/>
    <w:rsid w:val="00057646"/>
  </w:style>
  <w:style w:type="paragraph" w:styleId="Paragraphedeliste">
    <w:name w:val="List Paragraph"/>
    <w:basedOn w:val="Normal"/>
    <w:uiPriority w:val="34"/>
    <w:qFormat/>
    <w:rsid w:val="00CA40B4"/>
    <w:pPr>
      <w:ind w:left="720"/>
      <w:contextualSpacing/>
    </w:pPr>
  </w:style>
</w:styles>
</file>

<file path=word/webSettings.xml><?xml version="1.0" encoding="utf-8"?>
<w:webSettings xmlns:r="http://schemas.openxmlformats.org/officeDocument/2006/relationships" xmlns:w="http://schemas.openxmlformats.org/wordprocessingml/2006/main">
  <w:divs>
    <w:div w:id="1212225269">
      <w:bodyDiv w:val="1"/>
      <w:marLeft w:val="0"/>
      <w:marRight w:val="0"/>
      <w:marTop w:val="0"/>
      <w:marBottom w:val="0"/>
      <w:divBdr>
        <w:top w:val="none" w:sz="0" w:space="0" w:color="auto"/>
        <w:left w:val="none" w:sz="0" w:space="0" w:color="auto"/>
        <w:bottom w:val="none" w:sz="0" w:space="0" w:color="auto"/>
        <w:right w:val="none" w:sz="0" w:space="0" w:color="auto"/>
      </w:divBdr>
    </w:div>
    <w:div w:id="1270701364">
      <w:bodyDiv w:val="1"/>
      <w:marLeft w:val="0"/>
      <w:marRight w:val="0"/>
      <w:marTop w:val="0"/>
      <w:marBottom w:val="0"/>
      <w:divBdr>
        <w:top w:val="none" w:sz="0" w:space="0" w:color="auto"/>
        <w:left w:val="none" w:sz="0" w:space="0" w:color="auto"/>
        <w:bottom w:val="none" w:sz="0" w:space="0" w:color="auto"/>
        <w:right w:val="none" w:sz="0" w:space="0" w:color="auto"/>
      </w:divBdr>
      <w:divsChild>
        <w:div w:id="2075858959">
          <w:marLeft w:val="0"/>
          <w:marRight w:val="0"/>
          <w:marTop w:val="0"/>
          <w:marBottom w:val="0"/>
          <w:divBdr>
            <w:top w:val="none" w:sz="0" w:space="0" w:color="auto"/>
            <w:left w:val="none" w:sz="0" w:space="0" w:color="auto"/>
            <w:bottom w:val="none" w:sz="0" w:space="0" w:color="auto"/>
            <w:right w:val="none" w:sz="0" w:space="0" w:color="auto"/>
          </w:divBdr>
        </w:div>
        <w:div w:id="2101676608">
          <w:marLeft w:val="0"/>
          <w:marRight w:val="0"/>
          <w:marTop w:val="0"/>
          <w:marBottom w:val="0"/>
          <w:divBdr>
            <w:top w:val="none" w:sz="0" w:space="0" w:color="auto"/>
            <w:left w:val="none" w:sz="0" w:space="0" w:color="auto"/>
            <w:bottom w:val="none" w:sz="0" w:space="0" w:color="auto"/>
            <w:right w:val="none" w:sz="0" w:space="0" w:color="auto"/>
          </w:divBdr>
        </w:div>
      </w:divsChild>
    </w:div>
    <w:div w:id="129992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1248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PINOCHET</dc:creator>
  <cp:lastModifiedBy>GHA</cp:lastModifiedBy>
  <cp:revision>2</cp:revision>
  <cp:lastPrinted>2014-05-27T10:29:00Z</cp:lastPrinted>
  <dcterms:created xsi:type="dcterms:W3CDTF">2014-06-01T14:56:00Z</dcterms:created>
  <dcterms:modified xsi:type="dcterms:W3CDTF">2014-06-01T14:56:00Z</dcterms:modified>
</cp:coreProperties>
</file>